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BB" w:rsidRDefault="00323ABB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Aharoni"/>
          <w:b/>
          <w:color w:val="000000"/>
          <w:sz w:val="28"/>
          <w:szCs w:val="28"/>
          <w:u w:val="single"/>
          <w:lang w:val="el-GR"/>
        </w:rPr>
      </w:pPr>
      <w:r w:rsidRPr="00D56345">
        <w:rPr>
          <w:rFonts w:ascii="Times New Roman" w:hAnsi="Times New Roman" w:cs="Aharoni"/>
          <w:b/>
          <w:color w:val="000000"/>
          <w:sz w:val="28"/>
          <w:szCs w:val="28"/>
          <w:u w:val="single"/>
          <w:lang w:val="en-US"/>
        </w:rPr>
        <w:t>Evidence-based medicine and the influence</w:t>
      </w:r>
      <w:r w:rsidR="00D56345" w:rsidRPr="00D56345">
        <w:rPr>
          <w:rFonts w:ascii="Times New Roman" w:hAnsi="Times New Roman" w:cs="Aharoni"/>
          <w:b/>
          <w:color w:val="000000"/>
          <w:sz w:val="28"/>
          <w:szCs w:val="28"/>
          <w:u w:val="single"/>
          <w:lang w:val="en-US"/>
        </w:rPr>
        <w:t xml:space="preserve"> </w:t>
      </w:r>
      <w:r w:rsidRPr="00D56345">
        <w:rPr>
          <w:rFonts w:ascii="Times New Roman" w:hAnsi="Times New Roman" w:cs="Aharoni"/>
          <w:b/>
          <w:color w:val="000000"/>
          <w:sz w:val="28"/>
          <w:szCs w:val="28"/>
          <w:u w:val="single"/>
          <w:lang w:val="en-US"/>
        </w:rPr>
        <w:t>of marketing</w:t>
      </w:r>
    </w:p>
    <w:p w:rsidR="00D56345" w:rsidRPr="00D56345" w:rsidRDefault="00D56345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Aharoni"/>
          <w:b/>
          <w:color w:val="000000"/>
          <w:sz w:val="28"/>
          <w:szCs w:val="28"/>
          <w:u w:val="single"/>
          <w:lang w:val="el-GR"/>
        </w:rPr>
      </w:pPr>
    </w:p>
    <w:p w:rsidR="00571763" w:rsidRDefault="00323ABB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Evidence-based medicine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(EBM), or the judicious use of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best available clin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ical evidence combined with 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</w:t>
      </w:r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expertise of the phy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sician and the expectations and  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values of the patient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should be the fundamental 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 for decision-making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diagnosis and treatment 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 individual patients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323ABB" w:rsidRPr="00571763" w:rsidRDefault="00D56345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concept of evidence-</w:t>
      </w:r>
      <w:proofErr w:type="gram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based 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medicine</w:t>
      </w:r>
      <w:proofErr w:type="gramEnd"/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, however, may itself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susceptible to bias, as all 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three pillars [(1) available evidence, (2) clinical expertise</w:t>
      </w:r>
    </w:p>
    <w:p w:rsidR="00571763" w:rsidRDefault="00323ABB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proofErr w:type="gram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(3) expectation an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 values of the patient] may be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influenced by marketin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 campaigns by medical industry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non-scientific publicat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ions in the media. Particularly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the available 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vidence for a new ‘‘promising’’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product is low, the clinical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expertise of the physician and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expectations of the pa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tients may solely be founded on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marketing and media reports.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23ABB" w:rsidRPr="00571763" w:rsidRDefault="00D56345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How new </w:t>
      </w:r>
      <w:proofErr w:type="spell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orthopaedic</w:t>
      </w:r>
      <w:proofErr w:type="spell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treatments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can be popularized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public health is succinctly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described by John A. </w:t>
      </w:r>
      <w:proofErr w:type="spellStart"/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Bergfeld</w:t>
      </w:r>
      <w:proofErr w:type="spellEnd"/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with a so-called </w:t>
      </w:r>
      <w:proofErr w:type="spellStart"/>
      <w:r w:rsidR="00323ABB" w:rsidRPr="005717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Orthopa</w:t>
      </w:r>
      <w:r w:rsidRPr="005717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edic</w:t>
      </w:r>
      <w:proofErr w:type="spellEnd"/>
      <w:r w:rsidRPr="005717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323ABB" w:rsidRPr="005717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Triad.</w:t>
      </w:r>
      <w:proofErr w:type="gramEnd"/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According to thi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s triad, a treatment may easily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be popularized when the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following three ‘‘factors’’ are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combined: ‘‘a famous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surgeon (1) who treats a famous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(2) wi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 an untested treatment (3)</w:t>
      </w:r>
      <w:proofErr w:type="gramStart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’’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recent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example of a popularized tre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atment (modality) according to </w:t>
      </w:r>
      <w:r w:rsidR="00323ABB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triad is surrounding the use of the autologous</w:t>
      </w:r>
    </w:p>
    <w:p w:rsidR="00571763" w:rsidRDefault="00323ABB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proofErr w:type="spellStart"/>
      <w:proofErr w:type="gram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orthobiologics</w:t>
      </w:r>
      <w:proofErr w:type="spellEnd"/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field of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orthopaedic</w:t>
      </w:r>
      <w:proofErr w:type="spellEnd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surgery and sports 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medicine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Orthobiological</w:t>
      </w:r>
      <w:proofErr w:type="spell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treatment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 the inclusion 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biology</w:t>
      </w:r>
      <w:proofErr w:type="gramEnd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biochemistry in the development of s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keletal and soft tissue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healing. Popular </w:t>
      </w:r>
      <w:proofErr w:type="spell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biological</w:t>
      </w:r>
      <w:proofErr w:type="spellEnd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treatment modalities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include platelet-rich plasm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 (PRP)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autologous</w:t>
      </w:r>
      <w:proofErr w:type="gramEnd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conditioned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serum (ACS) and stem cel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ls. Several of these modalities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been tagged as the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‘‘standard of care’’ and 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often 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assumed</w:t>
      </w:r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as a ‘‘fix’’ or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‘‘cure al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l’’ solution by both physicians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patients. </w:t>
      </w:r>
    </w:p>
    <w:p w:rsidR="00571763" w:rsidRDefault="00323ABB" w:rsidP="00323A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Neverthel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ess, it should be expected that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treatments of any kind und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ergo thorough investigations on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 basic science and c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linical level before 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widespread 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application</w:t>
      </w:r>
      <w:proofErr w:type="gram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humans. In real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ity, these treatments are often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implemented in daily practic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based on the drive of popular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culture and the positive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mainstream media while there is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insufficient scientific evide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nce to heretofore justify their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ical use as a standard of care.</w:t>
      </w:r>
    </w:p>
    <w:p w:rsidR="000662D6" w:rsidRPr="00571763" w:rsidRDefault="00323ABB" w:rsidP="00D563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PRP is produced from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autologous whole blood using a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standard, commercially ava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ilable centrifugation system to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yield a platelet conc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entrate which is elevated above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baseline values. In the pr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eparation process, the relative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concentration of approximately 1,100 dif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ferent growth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factors is not controlled,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the ultimate composition </w:t>
      </w:r>
      <w:proofErr w:type="gramStart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 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PRP</w:t>
      </w:r>
      <w:proofErr w:type="gramEnd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remains unknown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Lastly, it has been shown that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not all growth factors are beneficial to all types of injures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and/o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 effective at </w:t>
      </w:r>
      <w:proofErr w:type="spellStart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all time</w:t>
      </w:r>
      <w:proofErr w:type="spellEnd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points .</w:t>
      </w:r>
      <w:proofErr w:type="gramEnd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Recently,</w:t>
      </w:r>
      <w:r w:rsidR="00571763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Mazzocca</w:t>
      </w:r>
      <w:proofErr w:type="spellEnd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 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al.</w:t>
      </w:r>
      <w:proofErr w:type="gramEnd"/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show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proofErr w:type="gramEnd"/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that many variables, such as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system used for preparatio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n, platelet activation, patient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age and the time of day that</w:t>
      </w:r>
      <w:r w:rsid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blood is drawn, affect the</w:t>
      </w:r>
      <w:r w:rsidR="00B07927" w:rsidRPr="00B079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composition of PR</w:t>
      </w:r>
      <w:r w:rsidR="00B07927">
        <w:rPr>
          <w:rFonts w:ascii="Times New Roman" w:hAnsi="Times New Roman" w:cs="Times New Roman"/>
          <w:color w:val="000000"/>
          <w:sz w:val="28"/>
          <w:szCs w:val="28"/>
          <w:lang w:val="en-US"/>
        </w:rPr>
        <w:t>P. Additionally, Foster et al.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evaluated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use of PRP and reported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lack of controlled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clinical trials that provide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high level of evidence, since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most of the studies were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basic science studies and case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reports reporting the use 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PRP-related products without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long-term follow-up. Overall,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despite the lack of scientific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evidence supporting the us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of PRP, and the unpredictable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irreproducible studie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 supporting it, keen marketing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campaigns and positiv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reports in the media have led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widespread clinical use and</w:t>
      </w:r>
      <w:r w:rsidR="00B079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subsequent to a quickly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increasing market value</w:t>
      </w:r>
      <w:r w:rsidR="00D56345"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which is estimated to be $126 </w:t>
      </w:r>
      <w:r w:rsidR="00B079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million by 2016 </w:t>
      </w:r>
      <w:r w:rsidRPr="005717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53389" w:rsidRPr="008634AF" w:rsidRDefault="000E4D8C" w:rsidP="00863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Another important issue is that how do you read an article and how do you use the information given in that specific article.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 o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ne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the latest articles </w:t>
      </w:r>
      <w:proofErr w:type="gramStart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it 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was</w:t>
      </w:r>
      <w:proofErr w:type="gramEnd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reported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hi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gh rate of healing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 a c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ommercial study in which </w:t>
      </w:r>
      <w:proofErr w:type="spellStart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tibial</w:t>
      </w:r>
      <w:proofErr w:type="spellEnd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nonun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ions</w:t>
      </w:r>
      <w:proofErr w:type="spellEnd"/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were managed with cultured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autologous bone ma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rrow stem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cells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</w:p>
    <w:p w:rsidR="0097584C" w:rsidRPr="008634AF" w:rsidRDefault="000E4D8C" w:rsidP="00863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The impo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rtant detail though was 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53389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limited</w:t>
      </w:r>
      <w:proofErr w:type="gramEnd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number of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stem cells present in bone marr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ow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aspira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te. </w:t>
      </w:r>
      <w:proofErr w:type="gramStart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  inves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tigators</w:t>
      </w:r>
      <w:proofErr w:type="gramEnd"/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had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proposed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expanding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harvested cells in culture and </w:t>
      </w:r>
      <w:proofErr w:type="spellStart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reimplanting</w:t>
      </w:r>
      <w:proofErr w:type="spellEnd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them following 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expansion.</w:t>
      </w:r>
      <w:r w:rsidR="0097584C" w:rsidRPr="008634AF">
        <w:rPr>
          <w:rFonts w:ascii="Sabon-Roman" w:hAnsi="Sabon-Roman" w:cs="Sabon-Roman"/>
          <w:color w:val="000000" w:themeColor="text1"/>
          <w:sz w:val="19"/>
          <w:szCs w:val="19"/>
          <w:lang w:val="en-US"/>
        </w:rPr>
        <w:t xml:space="preserve"> </w:t>
      </w:r>
      <w:proofErr w:type="gramStart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Implications  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future remain unclear</w:t>
      </w:r>
      <w:r w:rsidR="0097584C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But if this translates into success of the stem cells aspirate then many people will get an expensive treatment with limited success.</w:t>
      </w:r>
    </w:p>
    <w:p w:rsidR="0097584C" w:rsidRPr="008634AF" w:rsidRDefault="0097584C" w:rsidP="00EA1013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far as </w:t>
      </w:r>
      <w:proofErr w:type="gramStart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 </w:t>
      </w:r>
      <w:proofErr w:type="spellStart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orthopaedic</w:t>
      </w:r>
      <w:proofErr w:type="spellEnd"/>
      <w:proofErr w:type="gramEnd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triad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mentioned 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above there is the classic example the publication in New York times, when a very famous baseball player was 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suffering of Tennis elbow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he had PRP therapy  from a </w:t>
      </w:r>
      <w:proofErr w:type="spellStart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well known</w:t>
      </w:r>
      <w:proofErr w:type="spellEnd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sports doctor with good results. This newspaper report of a </w:t>
      </w:r>
      <w:proofErr w:type="spellStart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non evidence</w:t>
      </w:r>
      <w:proofErr w:type="spellEnd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based </w:t>
      </w:r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medical therapy made this kind of treatment very popular to the </w:t>
      </w:r>
      <w:proofErr w:type="spellStart"/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extend</w:t>
      </w:r>
      <w:proofErr w:type="spellEnd"/>
      <w:r w:rsidR="00421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that profitable medical organiz</w:t>
      </w:r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ations </w:t>
      </w:r>
      <w:proofErr w:type="gramStart"/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</w:t>
      </w:r>
      <w:r w:rsid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sted </w:t>
      </w:r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interest</w:t>
      </w:r>
      <w:proofErr w:type="gramEnd"/>
      <w:r w:rsidR="008634AF"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634AF" w:rsidRPr="008634AF" w:rsidRDefault="008634AF" w:rsidP="00863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Is there future in these therapies? Yes there is but </w:t>
      </w:r>
      <w:proofErr w:type="gramStart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 </w:t>
      </w:r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are</w:t>
      </w:r>
      <w:proofErr w:type="gramEnd"/>
      <w:r w:rsidRPr="008634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not yet ready for general use and they have been used for easy profit.</w:t>
      </w:r>
      <w:r w:rsidR="00421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 are looking forward for the development of these therapies</w:t>
      </w:r>
      <w:r w:rsidR="00C334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the benefit of the patient.</w:t>
      </w:r>
    </w:p>
    <w:p w:rsidR="0097584C" w:rsidRPr="008634AF" w:rsidRDefault="0097584C" w:rsidP="008634A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634AF" w:rsidRPr="00D34415" w:rsidRDefault="008634AF" w:rsidP="008634AF"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D3441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References: </w:t>
      </w:r>
    </w:p>
    <w:p w:rsidR="008634AF" w:rsidRPr="008634AF" w:rsidRDefault="008634AF" w:rsidP="008634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Knee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Surg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Sports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Traumatol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Arthrosc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(2013) 21:511-514.   </w:t>
      </w:r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Innovation in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orthopaedic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 surgery as it relates to evidence-based practice.</w:t>
      </w:r>
    </w:p>
    <w:p w:rsidR="008634AF" w:rsidRPr="008634AF" w:rsidRDefault="008634AF" w:rsidP="008634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J Am </w:t>
      </w:r>
      <w:proofErr w:type="spellStart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Acad</w:t>
      </w:r>
      <w:proofErr w:type="spellEnd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 </w:t>
      </w:r>
      <w:proofErr w:type="spellStart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Orthop</w:t>
      </w:r>
      <w:proofErr w:type="spellEnd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 </w:t>
      </w:r>
      <w:proofErr w:type="spellStart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Surg</w:t>
      </w:r>
      <w:proofErr w:type="spellEnd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 </w:t>
      </w:r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2011</w:t>
      </w:r>
      <w:proofErr w:type="gram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;19563</w:t>
      </w:r>
      <w:proofErr w:type="gram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-573.</w:t>
      </w:r>
      <w:r w:rsidRPr="008634AF">
        <w:rPr>
          <w:rFonts w:ascii="Helvetica" w:hAnsi="Helvetica" w:cs="Helvetica"/>
          <w:color w:val="0070C0"/>
          <w:sz w:val="28"/>
          <w:szCs w:val="28"/>
          <w:lang w:val="en-US"/>
        </w:rPr>
        <w:t xml:space="preserve"> </w:t>
      </w:r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Management of Aseptic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Tibial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 Nonunion</w:t>
      </w:r>
    </w:p>
    <w:p w:rsidR="008634AF" w:rsidRPr="009E371F" w:rsidRDefault="008634AF" w:rsidP="008634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Journal of the American Academy of </w:t>
      </w:r>
      <w:proofErr w:type="spellStart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Orthopaedic</w:t>
      </w:r>
      <w:proofErr w:type="spellEnd"/>
      <w:r w:rsidRPr="008634AF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 xml:space="preserve"> Surgeons</w:t>
      </w:r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Rosemont, IL. Dr.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Fischgrund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is Editor-in-Chief,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Orthopaedic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 Advances.</w:t>
      </w:r>
      <w:r w:rsidRPr="008634AF">
        <w:rPr>
          <w:rFonts w:ascii="Helvetica" w:hAnsi="Helvetica" w:cs="Helvetica"/>
          <w:color w:val="0070C0"/>
          <w:sz w:val="28"/>
          <w:szCs w:val="28"/>
          <w:lang w:val="en-US"/>
        </w:rPr>
        <w:t xml:space="preserve"> </w:t>
      </w:r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October 2009, </w:t>
      </w:r>
      <w:proofErr w:type="spellStart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Vol</w:t>
      </w:r>
      <w:proofErr w:type="spellEnd"/>
      <w:r w:rsidRPr="008634A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17, No 10 </w:t>
      </w:r>
      <w:r w:rsidRPr="008634AF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601</w:t>
      </w:r>
    </w:p>
    <w:p w:rsidR="009E371F" w:rsidRPr="009E371F" w:rsidRDefault="009E371F" w:rsidP="009E371F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==========================================================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Algerian" w:eastAsia="Times New Roman" w:hAnsi="Algerian" w:cs="Times New Roman"/>
          <w:b/>
          <w:i/>
          <w:color w:val="0000FF"/>
          <w:sz w:val="24"/>
          <w:szCs w:val="24"/>
          <w:lang w:val="en-US"/>
        </w:rPr>
      </w:pPr>
      <w:proofErr w:type="gramStart"/>
      <w:r w:rsidRPr="00DD738A">
        <w:rPr>
          <w:rFonts w:ascii="Algerian" w:eastAsia="Times New Roman" w:hAnsi="Algerian" w:cs="Times New Roman"/>
          <w:b/>
          <w:i/>
          <w:color w:val="0000FF"/>
          <w:sz w:val="24"/>
          <w:szCs w:val="24"/>
          <w:lang w:val="en-US"/>
        </w:rPr>
        <w:lastRenderedPageBreak/>
        <w:t>APOLLONION  HOSPITAL</w:t>
      </w:r>
      <w:proofErr w:type="gramEnd"/>
      <w:r w:rsidRPr="00DD738A">
        <w:rPr>
          <w:rFonts w:ascii="Algerian" w:eastAsia="Times New Roman" w:hAnsi="Algerian" w:cs="Times New Roman"/>
          <w:b/>
          <w:i/>
          <w:color w:val="0000FF"/>
          <w:sz w:val="24"/>
          <w:szCs w:val="24"/>
          <w:lang w:val="en-US"/>
        </w:rPr>
        <w:t xml:space="preserve">  NICOSIA  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Antique Olive" w:eastAsia="Times New Roman" w:hAnsi="Antique Olive" w:cs="Times New Roman"/>
          <w:b/>
          <w:color w:val="1D1B11"/>
          <w:sz w:val="18"/>
          <w:szCs w:val="24"/>
          <w:lang w:val="en-ZA"/>
        </w:rPr>
      </w:pPr>
      <w:r w:rsidRPr="00DD738A"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en-US"/>
        </w:rPr>
        <w:t xml:space="preserve">Dr Stelios </w:t>
      </w:r>
      <w:proofErr w:type="gramStart"/>
      <w:r w:rsidRPr="00DD738A"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en-US"/>
        </w:rPr>
        <w:t xml:space="preserve">Hadjichristofis  </w:t>
      </w:r>
      <w:r w:rsidRPr="00DD738A">
        <w:rPr>
          <w:rFonts w:ascii="Berlin Sans FB Demi" w:eastAsia="Times New Roman" w:hAnsi="Berlin Sans FB Demi" w:cs="Times New Roman"/>
          <w:b/>
          <w:color w:val="1D1B11"/>
          <w:sz w:val="18"/>
          <w:szCs w:val="24"/>
          <w:lang w:val="en-ZA"/>
        </w:rPr>
        <w:t>FCS</w:t>
      </w:r>
      <w:proofErr w:type="gramEnd"/>
      <w:r w:rsidRPr="00DD738A">
        <w:rPr>
          <w:rFonts w:ascii="Berlin Sans FB Demi" w:eastAsia="Times New Roman" w:hAnsi="Berlin Sans FB Demi" w:cs="Times New Roman"/>
          <w:b/>
          <w:color w:val="1D1B11"/>
          <w:sz w:val="18"/>
          <w:szCs w:val="24"/>
          <w:lang w:val="en-ZA"/>
        </w:rPr>
        <w:t xml:space="preserve">(SA)Orth.  </w:t>
      </w:r>
      <w:proofErr w:type="gramStart"/>
      <w:r w:rsidRPr="00DD738A">
        <w:rPr>
          <w:rFonts w:ascii="Berlin Sans FB Demi" w:eastAsia="Times New Roman" w:hAnsi="Berlin Sans FB Demi" w:cs="Times New Roman"/>
          <w:b/>
          <w:color w:val="1D1B11"/>
          <w:sz w:val="18"/>
          <w:szCs w:val="24"/>
          <w:lang w:val="en-ZA"/>
        </w:rPr>
        <w:t>/  MMed</w:t>
      </w:r>
      <w:proofErr w:type="gramEnd"/>
      <w:r w:rsidRPr="00DD738A">
        <w:rPr>
          <w:rFonts w:ascii="Berlin Sans FB Demi" w:eastAsia="Times New Roman" w:hAnsi="Berlin Sans FB Demi" w:cs="Times New Roman"/>
          <w:b/>
          <w:color w:val="1D1B11"/>
          <w:sz w:val="18"/>
          <w:szCs w:val="24"/>
          <w:lang w:val="en-ZA"/>
        </w:rPr>
        <w:t>(WITS)Orth.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Arial Black" w:eastAsia="Times New Roman" w:hAnsi="Arial Black" w:cs="Times New Roman"/>
          <w:b/>
          <w:color w:val="1D1B11"/>
          <w:szCs w:val="24"/>
          <w:lang w:val="en-ZA"/>
        </w:rPr>
      </w:pPr>
      <w:r w:rsidRPr="00DD738A">
        <w:rPr>
          <w:rFonts w:ascii="Arial Black" w:eastAsia="Times New Roman" w:hAnsi="Arial Black" w:cs="Times New Roman"/>
          <w:b/>
          <w:color w:val="1D1B11"/>
          <w:szCs w:val="24"/>
          <w:lang w:val="en-ZA"/>
        </w:rPr>
        <w:t>ORTHOPAEDIC SURGEON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Fellow of the College of Medicine of South Africa (</w:t>
      </w:r>
      <w:proofErr w:type="gramStart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FCS(</w:t>
      </w:r>
      <w:proofErr w:type="gramEnd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SA)Orth.)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 xml:space="preserve">Master of Medicine in Orthopaedics – University of </w:t>
      </w:r>
      <w:proofErr w:type="gramStart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Witwatersrand  (</w:t>
      </w:r>
      <w:proofErr w:type="gramEnd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MMed(WITS)Orth.)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Member of the American Academy of Orthopaedic Surgeons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Member of ESSKA (European Society of Sports Traumatology Knee surgery and Arthroscopy)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 xml:space="preserve">Member of </w:t>
      </w:r>
      <w:proofErr w:type="gramStart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ISAKOS(</w:t>
      </w:r>
      <w:proofErr w:type="gramEnd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International Society of Arthroscopy, Knee Surgery and Orthopaedic sports Medicine)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Member of the South African Orthopaedic Association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Holder of the Greek Orthopaedic Exams – Athens</w:t>
      </w:r>
    </w:p>
    <w:p w:rsidR="009E371F" w:rsidRPr="00DD738A" w:rsidRDefault="009E371F" w:rsidP="009E371F">
      <w:pPr>
        <w:keepNext/>
        <w:spacing w:after="0" w:line="240" w:lineRule="auto"/>
        <w:outlineLvl w:val="6"/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</w:pPr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 xml:space="preserve">Senior Lecturer at St George Medical </w:t>
      </w:r>
      <w:proofErr w:type="gramStart"/>
      <w:r w:rsidRPr="00DD738A">
        <w:rPr>
          <w:rFonts w:ascii="Berlin Sans FB Demi" w:eastAsia="Times New Roman" w:hAnsi="Berlin Sans FB Demi" w:cs="Times New Roman"/>
          <w:b/>
          <w:color w:val="1D1B11"/>
          <w:sz w:val="20"/>
          <w:szCs w:val="20"/>
          <w:lang w:val="en-ZA"/>
        </w:rPr>
        <w:t>school</w:t>
      </w:r>
      <w:proofErr w:type="gramEnd"/>
    </w:p>
    <w:p w:rsidR="009E371F" w:rsidRPr="00DD738A" w:rsidRDefault="009E371F" w:rsidP="009E371F">
      <w:pPr>
        <w:tabs>
          <w:tab w:val="left" w:pos="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en-US"/>
        </w:rPr>
      </w:pPr>
      <w:proofErr w:type="gramStart"/>
      <w:r w:rsidRPr="00DD738A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en-US"/>
        </w:rPr>
        <w:t>e-mail</w:t>
      </w:r>
      <w:proofErr w:type="gramEnd"/>
      <w:r w:rsidRPr="00DD738A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en-US"/>
        </w:rPr>
        <w:t xml:space="preserve">: hadjichristofis.stelios@cytanet.com.cy </w:t>
      </w:r>
    </w:p>
    <w:p w:rsidR="009E371F" w:rsidRPr="00DD738A" w:rsidRDefault="009E371F" w:rsidP="009E37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color w:val="0000FF"/>
          <w:u w:val="single"/>
          <w:lang w:val="en-ZA"/>
        </w:rPr>
      </w:pPr>
      <w:proofErr w:type="gramStart"/>
      <w:r w:rsidRPr="00DD738A">
        <w:rPr>
          <w:rFonts w:ascii="Times New Roman" w:eastAsia="Times New Roman" w:hAnsi="Times New Roman" w:cs="Times New Roman"/>
          <w:b/>
          <w:color w:val="1D1B11"/>
          <w:lang w:val="en-US"/>
        </w:rPr>
        <w:t>cell</w:t>
      </w:r>
      <w:proofErr w:type="gramEnd"/>
      <w:r w:rsidRPr="00DD738A">
        <w:rPr>
          <w:rFonts w:ascii="Times New Roman" w:eastAsia="Times New Roman" w:hAnsi="Times New Roman" w:cs="Times New Roman"/>
          <w:b/>
          <w:color w:val="1D1B11"/>
          <w:lang w:val="en-US"/>
        </w:rPr>
        <w:t>: 00357  99722555          web:</w:t>
      </w:r>
      <w:r w:rsidRPr="00DD738A">
        <w:rPr>
          <w:rFonts w:ascii="Times New Roman" w:eastAsia="Times New Roman" w:hAnsi="Times New Roman" w:cs="Times New Roman"/>
          <w:b/>
          <w:color w:val="17365D"/>
          <w:lang w:val="en-US"/>
        </w:rPr>
        <w:t xml:space="preserve"> </w:t>
      </w:r>
      <w:hyperlink r:id="rId6" w:history="1">
        <w:r w:rsidRPr="00DD738A">
          <w:rPr>
            <w:rFonts w:ascii="Calibri" w:eastAsia="Calibri" w:hAnsi="Calibri" w:cs="Times New Roman"/>
            <w:b/>
            <w:color w:val="0000FF"/>
            <w:u w:val="single"/>
            <w:lang w:val="en-ZA"/>
          </w:rPr>
          <w:t>http://orthodoc.aaos.org/Hadjichristofis/</w:t>
        </w:r>
      </w:hyperlink>
      <w:r w:rsidRPr="00DD738A">
        <w:rPr>
          <w:rFonts w:ascii="Calibri" w:eastAsia="Calibri" w:hAnsi="Calibri" w:cs="Times New Roman"/>
          <w:b/>
          <w:color w:val="0000FF"/>
          <w:u w:val="single"/>
          <w:lang w:val="en-ZA"/>
        </w:rPr>
        <w:t xml:space="preserve">                 </w:t>
      </w:r>
    </w:p>
    <w:p w:rsidR="009E371F" w:rsidRPr="00DD738A" w:rsidRDefault="009E371F" w:rsidP="009E371F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color w:val="0000FF"/>
          <w:u w:val="single"/>
          <w:lang w:val="en-US"/>
        </w:rPr>
      </w:pPr>
      <w:r w:rsidRPr="00DD738A">
        <w:rPr>
          <w:rFonts w:ascii="Calibri" w:eastAsia="Calibri" w:hAnsi="Calibri" w:cs="Times New Roman"/>
          <w:b/>
          <w:color w:val="0000FF"/>
          <w:lang w:val="en-US"/>
        </w:rPr>
        <w:t xml:space="preserve">                                                              </w:t>
      </w:r>
      <w:r w:rsidRPr="00DD738A">
        <w:rPr>
          <w:rFonts w:ascii="Calibri" w:eastAsia="Calibri" w:hAnsi="Calibri" w:cs="Times New Roman"/>
          <w:b/>
          <w:color w:val="0000FF"/>
          <w:u w:val="single"/>
          <w:lang w:val="en-ZA"/>
        </w:rPr>
        <w:t>www</w:t>
      </w:r>
      <w:r w:rsidRPr="00DD738A">
        <w:rPr>
          <w:rFonts w:ascii="Calibri" w:eastAsia="Calibri" w:hAnsi="Calibri" w:cs="Times New Roman"/>
          <w:b/>
          <w:color w:val="0000FF"/>
          <w:u w:val="single"/>
          <w:lang w:val="en-US"/>
        </w:rPr>
        <w:t>.</w:t>
      </w:r>
      <w:r w:rsidRPr="00DD738A">
        <w:rPr>
          <w:rFonts w:ascii="Calibri" w:eastAsia="Calibri" w:hAnsi="Calibri" w:cs="Times New Roman"/>
          <w:b/>
          <w:color w:val="0000FF"/>
          <w:u w:val="single"/>
          <w:lang w:val="en-ZA"/>
        </w:rPr>
        <w:t>bonejointcyprus</w:t>
      </w:r>
      <w:r w:rsidRPr="00DD738A">
        <w:rPr>
          <w:rFonts w:ascii="Calibri" w:eastAsia="Calibri" w:hAnsi="Calibri" w:cs="Times New Roman"/>
          <w:b/>
          <w:color w:val="0000FF"/>
          <w:u w:val="single"/>
          <w:lang w:val="en-US"/>
        </w:rPr>
        <w:t>.</w:t>
      </w:r>
      <w:r w:rsidRPr="00DD738A">
        <w:rPr>
          <w:rFonts w:ascii="Calibri" w:eastAsia="Calibri" w:hAnsi="Calibri" w:cs="Times New Roman"/>
          <w:b/>
          <w:color w:val="0000FF"/>
          <w:u w:val="single"/>
          <w:lang w:val="en-ZA"/>
        </w:rPr>
        <w:t>com</w:t>
      </w:r>
    </w:p>
    <w:p w:rsidR="00D56345" w:rsidRPr="008634AF" w:rsidRDefault="009E371F" w:rsidP="008634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3F3513FA" wp14:editId="7219D364">
            <wp:extent cx="1259614" cy="807478"/>
            <wp:effectExtent l="0" t="0" r="0" b="0"/>
            <wp:docPr id="3074" name="Picture 1" descr="C:\Users\stelios\Pictures\stelios\Photo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" descr="C:\Users\stelios\Pictures\stelios\Photo_0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73" cy="8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345" w:rsidRPr="0086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9DD"/>
    <w:multiLevelType w:val="hybridMultilevel"/>
    <w:tmpl w:val="6204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BB"/>
    <w:rsid w:val="000662D6"/>
    <w:rsid w:val="000E4D8C"/>
    <w:rsid w:val="00323ABB"/>
    <w:rsid w:val="00361382"/>
    <w:rsid w:val="00421BEA"/>
    <w:rsid w:val="00453389"/>
    <w:rsid w:val="00571763"/>
    <w:rsid w:val="008634AF"/>
    <w:rsid w:val="00894712"/>
    <w:rsid w:val="0097584C"/>
    <w:rsid w:val="009E371F"/>
    <w:rsid w:val="00B07927"/>
    <w:rsid w:val="00C334C2"/>
    <w:rsid w:val="00D56345"/>
    <w:rsid w:val="00E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1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1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thodoc.aaos.org/Hadjichristof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2013-08-15T14:13:00Z</cp:lastPrinted>
  <dcterms:created xsi:type="dcterms:W3CDTF">2013-08-19T06:18:00Z</dcterms:created>
  <dcterms:modified xsi:type="dcterms:W3CDTF">2013-08-19T06:18:00Z</dcterms:modified>
</cp:coreProperties>
</file>